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AE3" w:rsidRPr="00805AE3" w:rsidRDefault="00805AE3" w:rsidP="00586EC3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805AE3">
        <w:rPr>
          <w:rFonts w:asciiTheme="minorHAnsi" w:hAnsiTheme="minorHAnsi" w:cstheme="minorHAnsi"/>
          <w:b/>
          <w:i/>
          <w:sz w:val="24"/>
          <w:szCs w:val="24"/>
        </w:rPr>
        <w:t>Professional Learning Plan</w:t>
      </w:r>
      <w:r w:rsidR="00063A35">
        <w:rPr>
          <w:rFonts w:asciiTheme="minorHAnsi" w:hAnsiTheme="minorHAnsi" w:cstheme="minorHAnsi"/>
          <w:b/>
          <w:i/>
          <w:sz w:val="24"/>
          <w:szCs w:val="24"/>
        </w:rPr>
        <w:t xml:space="preserve">- </w:t>
      </w:r>
      <w:proofErr w:type="spellStart"/>
      <w:r w:rsidR="00063A35">
        <w:rPr>
          <w:rFonts w:asciiTheme="minorHAnsi" w:hAnsiTheme="minorHAnsi" w:cstheme="minorHAnsi"/>
          <w:b/>
          <w:i/>
          <w:sz w:val="24"/>
          <w:szCs w:val="24"/>
        </w:rPr>
        <w:t>Pendoylan</w:t>
      </w:r>
      <w:proofErr w:type="spellEnd"/>
      <w:r w:rsidR="00063A35">
        <w:rPr>
          <w:rFonts w:asciiTheme="minorHAnsi" w:hAnsiTheme="minorHAnsi" w:cstheme="minorHAnsi"/>
          <w:b/>
          <w:i/>
          <w:sz w:val="24"/>
          <w:szCs w:val="24"/>
        </w:rPr>
        <w:t xml:space="preserve"> Church in Wales Primary</w:t>
      </w:r>
    </w:p>
    <w:p w:rsidR="00805AE3" w:rsidRPr="00805AE3" w:rsidRDefault="00805AE3" w:rsidP="00805AE3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:rsidR="00805AE3" w:rsidRPr="00805AE3" w:rsidRDefault="00805AE3" w:rsidP="00805AE3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bookmarkStart w:id="0" w:name="_GoBack"/>
      <w:bookmarkEnd w:id="0"/>
      <w:r w:rsidRPr="00805AE3">
        <w:rPr>
          <w:rFonts w:asciiTheme="minorHAnsi" w:hAnsiTheme="minorHAnsi" w:cstheme="minorHAnsi"/>
          <w:b/>
          <w:i/>
          <w:sz w:val="24"/>
          <w:szCs w:val="24"/>
        </w:rPr>
        <w:t>January 2019 – March 2019</w:t>
      </w:r>
    </w:p>
    <w:p w:rsidR="00805AE3" w:rsidRPr="00805AE3" w:rsidRDefault="00805AE3" w:rsidP="00805AE3">
      <w:pPr>
        <w:rPr>
          <w:rFonts w:asciiTheme="minorHAnsi" w:hAnsiTheme="minorHAnsi" w:cstheme="minorHAnsi"/>
          <w:sz w:val="24"/>
          <w:szCs w:val="24"/>
        </w:rPr>
      </w:pPr>
    </w:p>
    <w:p w:rsidR="00586EC3" w:rsidRDefault="00586EC3" w:rsidP="00586EC3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63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4395"/>
        <w:gridCol w:w="3260"/>
        <w:gridCol w:w="1843"/>
        <w:gridCol w:w="2097"/>
        <w:gridCol w:w="1588"/>
      </w:tblGrid>
      <w:tr w:rsidR="00586EC3" w:rsidTr="004B095D">
        <w:tc>
          <w:tcPr>
            <w:tcW w:w="993" w:type="dxa"/>
            <w:shd w:val="clear" w:color="auto" w:fill="BFBFBF" w:themeFill="background1" w:themeFillShade="BF"/>
          </w:tcPr>
          <w:p w:rsidR="00586EC3" w:rsidRPr="00586EC3" w:rsidRDefault="00586EC3" w:rsidP="00586EC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86EC3">
              <w:rPr>
                <w:rFonts w:asciiTheme="minorHAnsi" w:hAnsiTheme="minorHAnsi" w:cstheme="minorHAnsi"/>
                <w:b/>
                <w:sz w:val="24"/>
                <w:szCs w:val="24"/>
              </w:rPr>
              <w:t>No.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586EC3" w:rsidRPr="00586EC3" w:rsidRDefault="00586EC3" w:rsidP="00586E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86EC3">
              <w:rPr>
                <w:rFonts w:asciiTheme="minorHAnsi" w:hAnsiTheme="minorHAnsi" w:cstheme="minorHAnsi"/>
                <w:b/>
                <w:sz w:val="24"/>
                <w:szCs w:val="24"/>
              </w:rPr>
              <w:t>National Mission Link</w:t>
            </w:r>
          </w:p>
        </w:tc>
        <w:tc>
          <w:tcPr>
            <w:tcW w:w="4395" w:type="dxa"/>
            <w:shd w:val="clear" w:color="auto" w:fill="BFBFBF" w:themeFill="background1" w:themeFillShade="BF"/>
          </w:tcPr>
          <w:p w:rsidR="00586EC3" w:rsidRDefault="00586EC3" w:rsidP="00586EC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6EC3">
              <w:rPr>
                <w:rFonts w:asciiTheme="minorHAnsi" w:hAnsiTheme="minorHAnsi" w:cstheme="minorHAnsi"/>
                <w:b/>
                <w:sz w:val="24"/>
                <w:szCs w:val="24"/>
              </w:rPr>
              <w:t>Planned Activity</w:t>
            </w:r>
          </w:p>
          <w:p w:rsidR="00586EC3" w:rsidRPr="00586EC3" w:rsidRDefault="00586EC3" w:rsidP="00586EC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8D7337">
              <w:rPr>
                <w:rFonts w:asciiTheme="minorHAnsi" w:hAnsiTheme="minorHAnsi" w:cstheme="minorHAnsi"/>
                <w:i/>
                <w:sz w:val="24"/>
                <w:szCs w:val="24"/>
              </w:rPr>
              <w:t>These are only suggestions and will need to be customised to ensure they meet the needs of each school setting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586EC3" w:rsidRPr="00586EC3" w:rsidRDefault="00586EC3" w:rsidP="00586E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86EC3">
              <w:rPr>
                <w:rFonts w:asciiTheme="minorHAnsi" w:hAnsiTheme="minorHAnsi" w:cstheme="minorHAnsi"/>
                <w:b/>
                <w:sz w:val="24"/>
                <w:szCs w:val="24"/>
              </w:rPr>
              <w:t>Success Criteria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586EC3" w:rsidRPr="00586EC3" w:rsidRDefault="00586EC3" w:rsidP="00586E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86EC3">
              <w:rPr>
                <w:rFonts w:asciiTheme="minorHAnsi" w:hAnsiTheme="minorHAnsi" w:cstheme="minorHAnsi"/>
                <w:b/>
                <w:sz w:val="24"/>
                <w:szCs w:val="24"/>
              </w:rPr>
              <w:t>Funding Source</w:t>
            </w:r>
          </w:p>
        </w:tc>
        <w:tc>
          <w:tcPr>
            <w:tcW w:w="2097" w:type="dxa"/>
            <w:shd w:val="clear" w:color="auto" w:fill="BFBFBF" w:themeFill="background1" w:themeFillShade="BF"/>
          </w:tcPr>
          <w:p w:rsidR="00586EC3" w:rsidRPr="00586EC3" w:rsidRDefault="00586EC3" w:rsidP="00586E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86EC3">
              <w:rPr>
                <w:rFonts w:asciiTheme="minorHAnsi" w:hAnsiTheme="minorHAnsi" w:cstheme="minorHAnsi"/>
                <w:b/>
                <w:sz w:val="24"/>
                <w:szCs w:val="24"/>
              </w:rPr>
              <w:t>Type of spend</w:t>
            </w:r>
          </w:p>
        </w:tc>
        <w:tc>
          <w:tcPr>
            <w:tcW w:w="1588" w:type="dxa"/>
            <w:shd w:val="clear" w:color="auto" w:fill="BFBFBF" w:themeFill="background1" w:themeFillShade="BF"/>
          </w:tcPr>
          <w:p w:rsidR="00586EC3" w:rsidRDefault="00586EC3" w:rsidP="00586E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86EC3">
              <w:rPr>
                <w:rFonts w:asciiTheme="minorHAnsi" w:hAnsiTheme="minorHAnsi" w:cstheme="minorHAnsi"/>
                <w:b/>
                <w:sz w:val="24"/>
                <w:szCs w:val="24"/>
              </w:rPr>
              <w:t>Cost</w:t>
            </w:r>
          </w:p>
          <w:p w:rsidR="00EB7742" w:rsidRPr="00586EC3" w:rsidRDefault="00EB7742" w:rsidP="00586E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£</w:t>
            </w:r>
          </w:p>
        </w:tc>
      </w:tr>
      <w:tr w:rsidR="00586EC3" w:rsidTr="004B095D">
        <w:tc>
          <w:tcPr>
            <w:tcW w:w="993" w:type="dxa"/>
          </w:tcPr>
          <w:p w:rsidR="00586EC3" w:rsidRDefault="00586EC3" w:rsidP="00F155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86EC3" w:rsidRDefault="00586EC3" w:rsidP="00586E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Developing a high quality education profession</w:t>
            </w:r>
          </w:p>
          <w:p w:rsidR="00586EC3" w:rsidRDefault="00586EC3" w:rsidP="00586EC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86EC3" w:rsidRDefault="00586EC3" w:rsidP="00586E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Inspirational leaders working collaboratively to raise standards</w:t>
            </w:r>
          </w:p>
        </w:tc>
        <w:tc>
          <w:tcPr>
            <w:tcW w:w="4395" w:type="dxa"/>
          </w:tcPr>
          <w:p w:rsidR="00586EC3" w:rsidRDefault="00586EC3" w:rsidP="00586EC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Engagement with professional standards for teaching and learning programme.</w:t>
            </w:r>
            <w:r w:rsidR="007745F4">
              <w:rPr>
                <w:rFonts w:asciiTheme="minorHAnsi" w:hAnsiTheme="minorHAnsi" w:cstheme="minorHAnsi"/>
                <w:sz w:val="24"/>
                <w:szCs w:val="24"/>
              </w:rPr>
              <w:t xml:space="preserve"> SLT/PL will lead staff through this process using CSC materials and providing opportunities for practitioners to reflect on their strengths and areas for development.</w:t>
            </w:r>
          </w:p>
          <w:p w:rsidR="00586EC3" w:rsidRDefault="00541D81" w:rsidP="00586EC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Engagement with Schools as Learning Organisations</w:t>
            </w:r>
            <w:r w:rsidR="007745F4">
              <w:rPr>
                <w:rFonts w:asciiTheme="minorHAnsi" w:hAnsiTheme="minorHAnsi" w:cstheme="minorHAnsi"/>
                <w:sz w:val="24"/>
                <w:szCs w:val="24"/>
              </w:rPr>
              <w:t xml:space="preserve">/ professional learning- Work alongside our SIG group researching aspects of Pedagogy </w:t>
            </w:r>
            <w:proofErr w:type="gramStart"/>
            <w:r w:rsidR="007745F4">
              <w:rPr>
                <w:rFonts w:asciiTheme="minorHAnsi" w:hAnsiTheme="minorHAnsi" w:cstheme="minorHAnsi"/>
                <w:sz w:val="24"/>
                <w:szCs w:val="24"/>
              </w:rPr>
              <w:t>( Principle</w:t>
            </w:r>
            <w:proofErr w:type="gramEnd"/>
            <w:r w:rsidR="007745F4">
              <w:rPr>
                <w:rFonts w:asciiTheme="minorHAnsi" w:hAnsiTheme="minorHAnsi" w:cstheme="minorHAnsi"/>
                <w:sz w:val="24"/>
                <w:szCs w:val="24"/>
              </w:rPr>
              <w:t xml:space="preserve"> 11 &amp; 12) and developing the ‘Interactive &amp; Collaborative elements of the DCF through our Pathfinder partnership. </w:t>
            </w:r>
          </w:p>
          <w:p w:rsidR="006C06F2" w:rsidRDefault="006C06F2" w:rsidP="00586EC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Preparing for new ALN arrangements</w:t>
            </w:r>
            <w:r w:rsidR="007745F4">
              <w:rPr>
                <w:rFonts w:asciiTheme="minorHAnsi" w:hAnsiTheme="minorHAnsi" w:cstheme="minorHAnsi"/>
                <w:sz w:val="24"/>
                <w:szCs w:val="24"/>
              </w:rPr>
              <w:t xml:space="preserve"> ( HT &amp; </w:t>
            </w:r>
            <w:proofErr w:type="spellStart"/>
            <w:r w:rsidR="007745F4">
              <w:rPr>
                <w:rFonts w:asciiTheme="minorHAnsi" w:hAnsiTheme="minorHAnsi" w:cstheme="minorHAnsi"/>
                <w:sz w:val="24"/>
                <w:szCs w:val="24"/>
              </w:rPr>
              <w:t>ALNco</w:t>
            </w:r>
            <w:proofErr w:type="spellEnd"/>
            <w:r w:rsidR="007745F4">
              <w:rPr>
                <w:rFonts w:asciiTheme="minorHAnsi" w:hAnsiTheme="minorHAnsi" w:cstheme="minorHAnsi"/>
                <w:sz w:val="24"/>
                <w:szCs w:val="24"/>
              </w:rPr>
              <w:t xml:space="preserve"> are part of the WAG Pre- Reading group and will also engage in all aspects of Cluster/CSC support) </w:t>
            </w:r>
          </w:p>
          <w:p w:rsidR="006C06F2" w:rsidRDefault="006C06F2" w:rsidP="00586EC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Preparing for the new SRE curriculum</w:t>
            </w:r>
            <w:r w:rsidR="007745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="007745F4">
              <w:rPr>
                <w:rFonts w:asciiTheme="minorHAnsi" w:hAnsiTheme="minorHAnsi" w:cstheme="minorHAnsi"/>
                <w:sz w:val="24"/>
                <w:szCs w:val="24"/>
              </w:rPr>
              <w:t>( Close</w:t>
            </w:r>
            <w:proofErr w:type="gramEnd"/>
            <w:r w:rsidR="007745F4">
              <w:rPr>
                <w:rFonts w:asciiTheme="minorHAnsi" w:hAnsiTheme="minorHAnsi" w:cstheme="minorHAnsi"/>
                <w:sz w:val="24"/>
                <w:szCs w:val="24"/>
              </w:rPr>
              <w:t xml:space="preserve"> liaison with Healthy Schools co-ordinator – completing Phase 5 and developing a new policy</w:t>
            </w:r>
            <w:r w:rsidR="00A557D0">
              <w:rPr>
                <w:rFonts w:asciiTheme="minorHAnsi" w:hAnsiTheme="minorHAnsi" w:cstheme="minorHAnsi"/>
                <w:sz w:val="24"/>
                <w:szCs w:val="24"/>
              </w:rPr>
              <w:t xml:space="preserve"> and SOW</w:t>
            </w:r>
            <w:r w:rsidR="007745F4">
              <w:rPr>
                <w:rFonts w:asciiTheme="minorHAnsi" w:hAnsiTheme="minorHAnsi" w:cstheme="minorHAnsi"/>
                <w:sz w:val="24"/>
                <w:szCs w:val="24"/>
              </w:rPr>
              <w:t xml:space="preserve"> for </w:t>
            </w:r>
            <w:r w:rsidR="007745F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SRE alongside our Parent Council.</w:t>
            </w:r>
          </w:p>
          <w:p w:rsidR="006C06F2" w:rsidRDefault="006C06F2" w:rsidP="00586EC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Leaders of professional learning train to become coach/mentors to develop a whole school coaching culture</w:t>
            </w:r>
            <w:r w:rsidR="00A557D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7745F4">
              <w:rPr>
                <w:rFonts w:asciiTheme="minorHAnsi" w:hAnsiTheme="minorHAnsi" w:cstheme="minorHAnsi"/>
                <w:sz w:val="24"/>
                <w:szCs w:val="24"/>
              </w:rPr>
              <w:t xml:space="preserve">PL to access all training through </w:t>
            </w:r>
            <w:r w:rsidR="00A557D0">
              <w:rPr>
                <w:rFonts w:asciiTheme="minorHAnsi" w:hAnsiTheme="minorHAnsi" w:cstheme="minorHAnsi"/>
                <w:sz w:val="24"/>
                <w:szCs w:val="24"/>
              </w:rPr>
              <w:t xml:space="preserve">SIG &amp; CSC- disseminate to staff. </w:t>
            </w:r>
            <w:proofErr w:type="gramStart"/>
            <w:r w:rsidR="00A557D0">
              <w:rPr>
                <w:rFonts w:asciiTheme="minorHAnsi" w:hAnsiTheme="minorHAnsi" w:cstheme="minorHAnsi"/>
                <w:sz w:val="24"/>
                <w:szCs w:val="24"/>
              </w:rPr>
              <w:t>Staff are</w:t>
            </w:r>
            <w:proofErr w:type="gramEnd"/>
            <w:r w:rsidR="00A557D0">
              <w:rPr>
                <w:rFonts w:asciiTheme="minorHAnsi" w:hAnsiTheme="minorHAnsi" w:cstheme="minorHAnsi"/>
                <w:sz w:val="24"/>
                <w:szCs w:val="24"/>
              </w:rPr>
              <w:t xml:space="preserve"> released to work in Pedagogy development coaching pairs.</w:t>
            </w:r>
          </w:p>
          <w:p w:rsidR="006C06F2" w:rsidRPr="00586EC3" w:rsidRDefault="006C06F2" w:rsidP="006C06F2">
            <w:pPr>
              <w:pStyle w:val="ListParagraph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3B2EF6" w:rsidRDefault="003B2EF6" w:rsidP="00586EC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Class teachers access Professional Learning to support development against the PTLS</w:t>
            </w:r>
          </w:p>
          <w:p w:rsidR="00586EC3" w:rsidRDefault="00541D81" w:rsidP="00586EC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SLO discussions used to self-evaluate and inform school improvement</w:t>
            </w:r>
          </w:p>
          <w:p w:rsidR="008D7337" w:rsidRPr="008D7337" w:rsidRDefault="008D7337" w:rsidP="008D733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6EC3" w:rsidRDefault="00586EC3" w:rsidP="00586E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Professional learning to raise the quality of our teachers</w:t>
            </w:r>
          </w:p>
        </w:tc>
        <w:tc>
          <w:tcPr>
            <w:tcW w:w="2097" w:type="dxa"/>
          </w:tcPr>
          <w:p w:rsidR="00586EC3" w:rsidRDefault="00586EC3" w:rsidP="008D733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Release Resources</w:t>
            </w:r>
            <w:r w:rsidR="008D73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Training </w:t>
            </w:r>
            <w:r w:rsidR="008D7337">
              <w:rPr>
                <w:rFonts w:asciiTheme="minorHAnsi" w:hAnsiTheme="minorHAnsi" w:cstheme="minorHAnsi"/>
                <w:sz w:val="24"/>
                <w:szCs w:val="24"/>
              </w:rPr>
              <w:t xml:space="preserve">/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Development</w:t>
            </w:r>
          </w:p>
        </w:tc>
        <w:tc>
          <w:tcPr>
            <w:tcW w:w="1588" w:type="dxa"/>
          </w:tcPr>
          <w:p w:rsidR="00586EC3" w:rsidRDefault="004B095D" w:rsidP="00586E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Collaborative Training costs-=</w:t>
            </w:r>
            <w:r w:rsidR="00F111C5">
              <w:rPr>
                <w:rFonts w:asciiTheme="minorHAnsi" w:hAnsiTheme="minorHAnsi" w:cstheme="minorHAnsi"/>
                <w:sz w:val="24"/>
                <w:szCs w:val="24"/>
              </w:rPr>
              <w:t>£350</w:t>
            </w:r>
          </w:p>
          <w:p w:rsidR="004B095D" w:rsidRDefault="004B095D" w:rsidP="00586E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Supply costs= </w:t>
            </w:r>
            <w:r w:rsidR="00F111C5">
              <w:rPr>
                <w:rFonts w:asciiTheme="minorHAnsi" w:hAnsiTheme="minorHAnsi" w:cstheme="minorHAnsi"/>
                <w:sz w:val="24"/>
                <w:szCs w:val="24"/>
              </w:rPr>
              <w:t>£150 per day x 7 = £1,050</w:t>
            </w:r>
          </w:p>
        </w:tc>
      </w:tr>
      <w:tr w:rsidR="00586EC3" w:rsidTr="004B095D">
        <w:tc>
          <w:tcPr>
            <w:tcW w:w="993" w:type="dxa"/>
            <w:tcBorders>
              <w:bottom w:val="single" w:sz="4" w:space="0" w:color="auto"/>
            </w:tcBorders>
          </w:tcPr>
          <w:p w:rsidR="00586EC3" w:rsidRDefault="008D7337" w:rsidP="00F155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86EC3" w:rsidRDefault="008D7337" w:rsidP="00586E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Developing a high quality education profession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586EC3" w:rsidRDefault="008D7337" w:rsidP="008D733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Access leadership programme</w:t>
            </w:r>
            <w:r w:rsidR="00F7170C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to support </w:t>
            </w:r>
            <w:r w:rsidR="00F7170C">
              <w:rPr>
                <w:rFonts w:asciiTheme="minorHAnsi" w:hAnsiTheme="minorHAnsi" w:cstheme="minorHAnsi"/>
                <w:sz w:val="24"/>
                <w:szCs w:val="24"/>
              </w:rPr>
              <w:t xml:space="preserve">all school leaders including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Headship</w:t>
            </w:r>
            <w:r w:rsidR="00A557D0">
              <w:rPr>
                <w:rFonts w:asciiTheme="minorHAnsi" w:hAnsiTheme="minorHAnsi" w:cstheme="minorHAnsi"/>
                <w:sz w:val="24"/>
                <w:szCs w:val="24"/>
              </w:rPr>
              <w:t>. HT to continue to sit on the WAG HT advisory Board. This year having a focus on Mental Health and Well Being plus the new ALN Bill. DH to develop as part of a Trinity St David’s Network Piloting teacher training and development within schools. SLT – develop the role of PL/</w:t>
            </w:r>
            <w:proofErr w:type="spellStart"/>
            <w:r w:rsidR="00A557D0">
              <w:rPr>
                <w:rFonts w:asciiTheme="minorHAnsi" w:hAnsiTheme="minorHAnsi" w:cstheme="minorHAnsi"/>
                <w:sz w:val="24"/>
                <w:szCs w:val="24"/>
              </w:rPr>
              <w:t>ALNco</w:t>
            </w:r>
            <w:proofErr w:type="spellEnd"/>
            <w:r w:rsidR="00A557D0">
              <w:rPr>
                <w:rFonts w:asciiTheme="minorHAnsi" w:hAnsiTheme="minorHAnsi" w:cstheme="minorHAnsi"/>
                <w:sz w:val="24"/>
                <w:szCs w:val="24"/>
              </w:rPr>
              <w:t xml:space="preserve"> and our Literacy Lead working in a CSC Writing Action Research collaborative project. Continue to develop the role of distributed leadership amongst other staff through school to school collaboration and development.</w:t>
            </w:r>
            <w:r w:rsidR="00063A35">
              <w:rPr>
                <w:rFonts w:asciiTheme="minorHAnsi" w:hAnsiTheme="minorHAnsi" w:cstheme="minorHAnsi"/>
                <w:sz w:val="24"/>
                <w:szCs w:val="24"/>
              </w:rPr>
              <w:t xml:space="preserve"> Support HLTA programme and LSA staff development through CSC training ladder. Involve all LSA’s in school to school collaboration. </w:t>
            </w:r>
          </w:p>
          <w:p w:rsidR="006C06F2" w:rsidRPr="008D7337" w:rsidRDefault="006C06F2" w:rsidP="008D733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Engaging with other schools and or universities to undertaken enquiry led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research</w:t>
            </w:r>
            <w:r w:rsidR="00A557D0">
              <w:rPr>
                <w:rFonts w:asciiTheme="minorHAnsi" w:hAnsiTheme="minorHAnsi" w:cstheme="minorHAnsi"/>
                <w:sz w:val="24"/>
                <w:szCs w:val="24"/>
              </w:rPr>
              <w:t>- Part of the Trinity St David’s school pilot network</w:t>
            </w:r>
            <w:r w:rsidR="00063A35">
              <w:rPr>
                <w:rFonts w:asciiTheme="minorHAnsi" w:hAnsiTheme="minorHAnsi" w:cstheme="minorHAnsi"/>
                <w:sz w:val="24"/>
                <w:szCs w:val="24"/>
              </w:rPr>
              <w:t>, SIG/Pathfinder and Cluster collaborative work</w:t>
            </w:r>
            <w:r w:rsidR="008819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="00881971">
              <w:rPr>
                <w:rFonts w:asciiTheme="minorHAnsi" w:hAnsiTheme="minorHAnsi" w:cstheme="minorHAnsi"/>
                <w:sz w:val="24"/>
                <w:szCs w:val="24"/>
              </w:rPr>
              <w:t>( see</w:t>
            </w:r>
            <w:proofErr w:type="gramEnd"/>
            <w:r w:rsidR="00881971">
              <w:rPr>
                <w:rFonts w:asciiTheme="minorHAnsi" w:hAnsiTheme="minorHAnsi" w:cstheme="minorHAnsi"/>
                <w:sz w:val="24"/>
                <w:szCs w:val="24"/>
              </w:rPr>
              <w:t xml:space="preserve"> individual action plans)</w:t>
            </w:r>
            <w:r w:rsidR="00063A3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86EC3" w:rsidRDefault="008D7337" w:rsidP="008D733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Headteacher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invests in</w:t>
            </w:r>
            <w:r w:rsidR="00063A35">
              <w:rPr>
                <w:rFonts w:asciiTheme="minorHAnsi" w:hAnsiTheme="minorHAnsi" w:cstheme="minorHAnsi"/>
                <w:sz w:val="24"/>
                <w:szCs w:val="24"/>
              </w:rPr>
              <w:t xml:space="preserve"> all staff’s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personal development linked to relevant career pathway</w:t>
            </w:r>
          </w:p>
          <w:p w:rsidR="00881971" w:rsidRPr="008D7337" w:rsidRDefault="00881971" w:rsidP="008D733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Effective partnerships linked to action research and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innovation are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established and make a positive impact on the quality of education being provided within and beyond the school.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6EC3" w:rsidRDefault="008D7337" w:rsidP="00586E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Professional learning to raise the quality of our teachers</w:t>
            </w:r>
          </w:p>
        </w:tc>
        <w:tc>
          <w:tcPr>
            <w:tcW w:w="2097" w:type="dxa"/>
          </w:tcPr>
          <w:p w:rsidR="00586EC3" w:rsidRDefault="008D7337" w:rsidP="00586E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Release Resources Training / Development</w:t>
            </w:r>
          </w:p>
        </w:tc>
        <w:tc>
          <w:tcPr>
            <w:tcW w:w="1588" w:type="dxa"/>
          </w:tcPr>
          <w:p w:rsidR="00586EC3" w:rsidRDefault="004B095D" w:rsidP="00586E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Supply costs= £150 per day x 12 = £1800</w:t>
            </w:r>
          </w:p>
        </w:tc>
      </w:tr>
      <w:tr w:rsidR="00EB7742" w:rsidTr="004B095D">
        <w:tc>
          <w:tcPr>
            <w:tcW w:w="12617" w:type="dxa"/>
            <w:gridSpan w:val="5"/>
            <w:vMerge w:val="restart"/>
            <w:tcBorders>
              <w:left w:val="nil"/>
              <w:bottom w:val="nil"/>
            </w:tcBorders>
          </w:tcPr>
          <w:p w:rsidR="00EB7742" w:rsidRDefault="00EB7742" w:rsidP="00586EC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BFBFBF" w:themeFill="background1" w:themeFillShade="BF"/>
          </w:tcPr>
          <w:p w:rsidR="00EB7742" w:rsidRPr="00EB7742" w:rsidRDefault="00EB7742" w:rsidP="00586EC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7742">
              <w:rPr>
                <w:rFonts w:asciiTheme="minorHAnsi" w:hAnsiTheme="minorHAnsi" w:cstheme="minorHAnsi"/>
                <w:b/>
                <w:sz w:val="24"/>
                <w:szCs w:val="24"/>
              </w:rPr>
              <w:t>Total Cost</w:t>
            </w:r>
          </w:p>
          <w:p w:rsidR="00EB7742" w:rsidRPr="00EB7742" w:rsidRDefault="00EB7742" w:rsidP="00586EC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88" w:type="dxa"/>
          </w:tcPr>
          <w:p w:rsidR="00EB7742" w:rsidRDefault="00EB7742" w:rsidP="00586E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£</w:t>
            </w:r>
            <w:r w:rsidR="00F111C5">
              <w:rPr>
                <w:rFonts w:asciiTheme="minorHAnsi" w:hAnsiTheme="minorHAnsi" w:cstheme="minorHAnsi"/>
                <w:sz w:val="24"/>
                <w:szCs w:val="24"/>
              </w:rPr>
              <w:t>3,200</w:t>
            </w:r>
          </w:p>
        </w:tc>
      </w:tr>
      <w:tr w:rsidR="00EB7742" w:rsidTr="004B095D">
        <w:tc>
          <w:tcPr>
            <w:tcW w:w="12617" w:type="dxa"/>
            <w:gridSpan w:val="5"/>
            <w:vMerge/>
            <w:tcBorders>
              <w:left w:val="nil"/>
              <w:bottom w:val="nil"/>
            </w:tcBorders>
          </w:tcPr>
          <w:p w:rsidR="00EB7742" w:rsidRDefault="00EB7742" w:rsidP="00586EC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BFBFBF" w:themeFill="background1" w:themeFillShade="BF"/>
          </w:tcPr>
          <w:p w:rsidR="00EB7742" w:rsidRPr="00EB7742" w:rsidRDefault="00EB7742" w:rsidP="00586EC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7742">
              <w:rPr>
                <w:rFonts w:asciiTheme="minorHAnsi" w:hAnsiTheme="minorHAnsi" w:cstheme="minorHAnsi"/>
                <w:b/>
                <w:sz w:val="24"/>
                <w:szCs w:val="24"/>
              </w:rPr>
              <w:t>Total Allocation</w:t>
            </w:r>
          </w:p>
          <w:p w:rsidR="00EB7742" w:rsidRPr="00EB7742" w:rsidRDefault="00EB7742" w:rsidP="00586EC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88" w:type="dxa"/>
          </w:tcPr>
          <w:p w:rsidR="00EB7742" w:rsidRDefault="00EB7742" w:rsidP="00586E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£</w:t>
            </w:r>
            <w:r w:rsidR="00F111C5">
              <w:rPr>
                <w:rFonts w:asciiTheme="minorHAnsi" w:hAnsiTheme="minorHAnsi" w:cstheme="minorHAnsi"/>
                <w:sz w:val="24"/>
                <w:szCs w:val="24"/>
              </w:rPr>
              <w:t>3,190.30</w:t>
            </w:r>
          </w:p>
        </w:tc>
      </w:tr>
      <w:tr w:rsidR="00EB7742" w:rsidTr="004B095D">
        <w:tc>
          <w:tcPr>
            <w:tcW w:w="12617" w:type="dxa"/>
            <w:gridSpan w:val="5"/>
            <w:vMerge/>
            <w:tcBorders>
              <w:left w:val="nil"/>
              <w:bottom w:val="nil"/>
            </w:tcBorders>
          </w:tcPr>
          <w:p w:rsidR="00EB7742" w:rsidRDefault="00EB7742" w:rsidP="00586EC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BFBFBF" w:themeFill="background1" w:themeFillShade="BF"/>
          </w:tcPr>
          <w:p w:rsidR="00EB7742" w:rsidRPr="00EB7742" w:rsidRDefault="00EB7742" w:rsidP="00586EC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7742">
              <w:rPr>
                <w:rFonts w:asciiTheme="minorHAnsi" w:hAnsiTheme="minorHAnsi" w:cstheme="minorHAnsi"/>
                <w:b/>
                <w:sz w:val="24"/>
                <w:szCs w:val="24"/>
              </w:rPr>
              <w:t>Variance</w:t>
            </w:r>
          </w:p>
          <w:p w:rsidR="00EB7742" w:rsidRPr="00EB7742" w:rsidRDefault="00EB7742" w:rsidP="00586EC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88" w:type="dxa"/>
          </w:tcPr>
          <w:p w:rsidR="00EB7742" w:rsidRDefault="00EB7742" w:rsidP="00586E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£</w:t>
            </w:r>
            <w:r w:rsidR="00F111C5">
              <w:rPr>
                <w:rFonts w:asciiTheme="minorHAnsi" w:hAnsiTheme="minorHAnsi" w:cstheme="minorHAnsi"/>
                <w:sz w:val="24"/>
                <w:szCs w:val="24"/>
              </w:rPr>
              <w:t>9.70</w:t>
            </w:r>
          </w:p>
        </w:tc>
      </w:tr>
    </w:tbl>
    <w:p w:rsidR="00586EC3" w:rsidRPr="00586EC3" w:rsidRDefault="00586EC3" w:rsidP="00586EC3">
      <w:pPr>
        <w:rPr>
          <w:rFonts w:asciiTheme="minorHAnsi" w:hAnsiTheme="minorHAnsi" w:cstheme="minorHAnsi"/>
          <w:sz w:val="24"/>
          <w:szCs w:val="24"/>
        </w:rPr>
      </w:pPr>
    </w:p>
    <w:sectPr w:rsidR="00586EC3" w:rsidRPr="00586EC3" w:rsidSect="008D73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997" w:rsidRDefault="00FD3997" w:rsidP="008D7337">
      <w:r>
        <w:separator/>
      </w:r>
    </w:p>
  </w:endnote>
  <w:endnote w:type="continuationSeparator" w:id="0">
    <w:p w:rsidR="00FD3997" w:rsidRDefault="00FD3997" w:rsidP="008D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2A2" w:rsidRDefault="007A32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2A2" w:rsidRDefault="007A32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2A2" w:rsidRDefault="007A32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997" w:rsidRDefault="00FD3997" w:rsidP="008D7337">
      <w:r>
        <w:separator/>
      </w:r>
    </w:p>
  </w:footnote>
  <w:footnote w:type="continuationSeparator" w:id="0">
    <w:p w:rsidR="00FD3997" w:rsidRDefault="00FD3997" w:rsidP="008D7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2A2" w:rsidRDefault="007A32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337" w:rsidRDefault="008D7337">
    <w:pPr>
      <w:pStyle w:val="Header"/>
    </w:pPr>
    <w:r w:rsidRPr="00805AE3">
      <w:rPr>
        <w:rFonts w:asciiTheme="minorHAnsi" w:hAnsiTheme="minorHAnsi" w:cstheme="minorHAnsi"/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01FFDF6D" wp14:editId="502AF78B">
          <wp:simplePos x="0" y="0"/>
          <wp:positionH relativeFrom="margin">
            <wp:posOffset>8745855</wp:posOffset>
          </wp:positionH>
          <wp:positionV relativeFrom="topMargin">
            <wp:posOffset>47625</wp:posOffset>
          </wp:positionV>
          <wp:extent cx="1104900" cy="552450"/>
          <wp:effectExtent l="0" t="0" r="0" b="0"/>
          <wp:wrapSquare wrapText="bothSides"/>
          <wp:docPr id="2" name="Picture 2" descr="CSC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C-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490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D7337" w:rsidRDefault="008D73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2A2" w:rsidRDefault="007A32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5723B"/>
    <w:multiLevelType w:val="hybridMultilevel"/>
    <w:tmpl w:val="0AB62C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440A25"/>
    <w:multiLevelType w:val="hybridMultilevel"/>
    <w:tmpl w:val="44E0D4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6D2452"/>
    <w:multiLevelType w:val="hybridMultilevel"/>
    <w:tmpl w:val="60285E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AE3"/>
    <w:rsid w:val="00063A35"/>
    <w:rsid w:val="003B2EF6"/>
    <w:rsid w:val="004B095D"/>
    <w:rsid w:val="005109BC"/>
    <w:rsid w:val="00541D81"/>
    <w:rsid w:val="00586EC3"/>
    <w:rsid w:val="006C06F2"/>
    <w:rsid w:val="007745F4"/>
    <w:rsid w:val="007A32A2"/>
    <w:rsid w:val="00805AE3"/>
    <w:rsid w:val="00852BB8"/>
    <w:rsid w:val="00881971"/>
    <w:rsid w:val="008D6052"/>
    <w:rsid w:val="008D7337"/>
    <w:rsid w:val="00A557D0"/>
    <w:rsid w:val="00A61589"/>
    <w:rsid w:val="00AF7318"/>
    <w:rsid w:val="00BF1323"/>
    <w:rsid w:val="00DF6816"/>
    <w:rsid w:val="00E8474F"/>
    <w:rsid w:val="00EB7742"/>
    <w:rsid w:val="00F111C5"/>
    <w:rsid w:val="00F15591"/>
    <w:rsid w:val="00F7170C"/>
    <w:rsid w:val="00FD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AE3"/>
    <w:pPr>
      <w:ind w:left="720"/>
      <w:contextualSpacing/>
    </w:pPr>
  </w:style>
  <w:style w:type="table" w:styleId="TableGrid">
    <w:name w:val="Table Grid"/>
    <w:basedOn w:val="TableNormal"/>
    <w:uiPriority w:val="39"/>
    <w:rsid w:val="00586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73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337"/>
  </w:style>
  <w:style w:type="paragraph" w:styleId="Footer">
    <w:name w:val="footer"/>
    <w:basedOn w:val="Normal"/>
    <w:link w:val="FooterChar"/>
    <w:uiPriority w:val="99"/>
    <w:unhideWhenUsed/>
    <w:rsid w:val="008D73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3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AE3"/>
    <w:pPr>
      <w:ind w:left="720"/>
      <w:contextualSpacing/>
    </w:pPr>
  </w:style>
  <w:style w:type="table" w:styleId="TableGrid">
    <w:name w:val="Table Grid"/>
    <w:basedOn w:val="TableNormal"/>
    <w:uiPriority w:val="39"/>
    <w:rsid w:val="00586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73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337"/>
  </w:style>
  <w:style w:type="paragraph" w:styleId="Footer">
    <w:name w:val="footer"/>
    <w:basedOn w:val="Normal"/>
    <w:link w:val="FooterChar"/>
    <w:uiPriority w:val="99"/>
    <w:unhideWhenUsed/>
    <w:rsid w:val="008D73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Rhondda Cynon Taff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Davies, Tina</dc:creator>
  <cp:lastModifiedBy>school</cp:lastModifiedBy>
  <cp:revision>2</cp:revision>
  <dcterms:created xsi:type="dcterms:W3CDTF">2019-01-30T10:38:00Z</dcterms:created>
  <dcterms:modified xsi:type="dcterms:W3CDTF">2019-01-30T10:38:00Z</dcterms:modified>
</cp:coreProperties>
</file>